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7th Grade Supply List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Students Should Have: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3, 2” Ring Binders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 Notebook Dividers (for the ring binders)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Notebook Paper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 Pocket Folder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 Composition Notebooks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Pencil Sharpener (optional)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Colored Pencils/Markers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Highlighter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Needs for the Math Classroom (Shared Use):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Expo Markers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Index Cards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Graph Paper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Construction Paper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Glue Stick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